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C64" w:rsidRDefault="00E02ABE">
      <w:pPr>
        <w:jc w:val="center"/>
        <w:rPr>
          <w:rFonts w:ascii="Times New Roman" w:eastAsia="黑体" w:hAnsi="Times New Roman" w:cs="Times New Roman"/>
          <w:sz w:val="36"/>
          <w:szCs w:val="44"/>
        </w:rPr>
      </w:pPr>
      <w:r>
        <w:rPr>
          <w:rFonts w:ascii="Times New Roman" w:eastAsia="黑体" w:hAnsi="Times New Roman" w:cs="Times New Roman"/>
          <w:sz w:val="36"/>
          <w:szCs w:val="44"/>
        </w:rPr>
        <w:t xml:space="preserve">2022 </w:t>
      </w:r>
      <w:r>
        <w:rPr>
          <w:rFonts w:ascii="Times New Roman" w:eastAsia="黑体" w:hAnsi="Times New Roman" w:cs="Times New Roman"/>
          <w:sz w:val="36"/>
          <w:szCs w:val="44"/>
        </w:rPr>
        <w:t>年度全区第三次枸杞病虫害信息化监</w:t>
      </w:r>
    </w:p>
    <w:p w:rsidR="00623C64" w:rsidRDefault="00E02ABE">
      <w:pPr>
        <w:jc w:val="center"/>
        <w:rPr>
          <w:rFonts w:ascii="Times New Roman" w:eastAsia="黑体" w:hAnsi="Times New Roman" w:cs="Times New Roman"/>
          <w:sz w:val="36"/>
          <w:szCs w:val="44"/>
        </w:rPr>
      </w:pPr>
      <w:proofErr w:type="gramStart"/>
      <w:r>
        <w:rPr>
          <w:rFonts w:ascii="Times New Roman" w:eastAsia="黑体" w:hAnsi="Times New Roman" w:cs="Times New Roman"/>
          <w:sz w:val="36"/>
          <w:szCs w:val="44"/>
        </w:rPr>
        <w:t>测情况</w:t>
      </w:r>
      <w:proofErr w:type="gramEnd"/>
      <w:r>
        <w:rPr>
          <w:rFonts w:ascii="Times New Roman" w:eastAsia="黑体" w:hAnsi="Times New Roman" w:cs="Times New Roman"/>
          <w:sz w:val="36"/>
          <w:szCs w:val="44"/>
        </w:rPr>
        <w:t>通报及</w:t>
      </w:r>
      <w:bookmarkStart w:id="0" w:name="_GoBack"/>
      <w:bookmarkEnd w:id="0"/>
      <w:r>
        <w:rPr>
          <w:rFonts w:ascii="Times New Roman" w:eastAsia="黑体" w:hAnsi="Times New Roman" w:cs="Times New Roman"/>
          <w:sz w:val="36"/>
          <w:szCs w:val="44"/>
        </w:rPr>
        <w:t>绿色防控建议方案</w:t>
      </w:r>
    </w:p>
    <w:p w:rsidR="00623C64" w:rsidRDefault="00E02ABE">
      <w:pPr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一、监测情况通报</w:t>
      </w:r>
    </w:p>
    <w:p w:rsidR="00623C64" w:rsidRDefault="00E02ABE">
      <w:pPr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（一）监测工作开展情况</w:t>
      </w:r>
    </w:p>
    <w:p w:rsidR="00623C64" w:rsidRDefault="00E02ABE">
      <w:pPr>
        <w:spacing w:line="500" w:lineRule="exact"/>
        <w:ind w:firstLineChars="200" w:firstLine="480"/>
      </w:pPr>
      <w:r>
        <w:rPr>
          <w:rFonts w:ascii="Times New Roman" w:eastAsia="宋体" w:hAnsi="Times New Roman" w:cs="Times New Roman"/>
          <w:sz w:val="24"/>
          <w:szCs w:val="32"/>
        </w:rPr>
        <w:t>在本次全区枸杞病虫害常规化信息测报中，全区</w:t>
      </w:r>
      <w:r>
        <w:rPr>
          <w:rFonts w:ascii="Times New Roman" w:eastAsia="宋体" w:hAnsi="Times New Roman" w:cs="Times New Roman"/>
          <w:sz w:val="24"/>
          <w:szCs w:val="32"/>
        </w:rPr>
        <w:t xml:space="preserve"> 16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市、县（区）中的</w:t>
      </w:r>
      <w:r>
        <w:rPr>
          <w:rFonts w:ascii="Times New Roman" w:eastAsia="宋体" w:hAnsi="Times New Roman" w:cs="Times New Roman"/>
          <w:sz w:val="24"/>
          <w:szCs w:val="32"/>
        </w:rPr>
        <w:t xml:space="preserve"> 41 </w:t>
      </w:r>
      <w:r>
        <w:rPr>
          <w:rFonts w:ascii="Times New Roman" w:eastAsia="宋体" w:hAnsi="Times New Roman" w:cs="Times New Roman"/>
          <w:sz w:val="24"/>
          <w:szCs w:val="32"/>
        </w:rPr>
        <w:t>家企业、</w:t>
      </w:r>
      <w:r>
        <w:rPr>
          <w:rFonts w:ascii="Times New Roman" w:eastAsia="宋体" w:hAnsi="Times New Roman" w:cs="Times New Roman"/>
          <w:sz w:val="24"/>
          <w:szCs w:val="32"/>
        </w:rPr>
        <w:t xml:space="preserve">28 </w:t>
      </w:r>
      <w:r>
        <w:rPr>
          <w:rFonts w:ascii="Times New Roman" w:eastAsia="宋体" w:hAnsi="Times New Roman" w:cs="Times New Roman"/>
          <w:sz w:val="24"/>
          <w:szCs w:val="32"/>
        </w:rPr>
        <w:t>家合作社、</w:t>
      </w:r>
      <w:r>
        <w:rPr>
          <w:rFonts w:ascii="Times New Roman" w:eastAsia="宋体" w:hAnsi="Times New Roman" w:cs="Times New Roman"/>
          <w:sz w:val="24"/>
          <w:szCs w:val="32"/>
        </w:rPr>
        <w:t xml:space="preserve">5 </w:t>
      </w:r>
      <w:r>
        <w:rPr>
          <w:rFonts w:ascii="Times New Roman" w:eastAsia="宋体" w:hAnsi="Times New Roman" w:cs="Times New Roman"/>
          <w:sz w:val="24"/>
          <w:szCs w:val="32"/>
        </w:rPr>
        <w:t>个家庭农场及</w:t>
      </w:r>
      <w:r>
        <w:rPr>
          <w:rFonts w:ascii="Times New Roman" w:eastAsia="宋体" w:hAnsi="Times New Roman" w:cs="Times New Roman"/>
          <w:sz w:val="24"/>
          <w:szCs w:val="32"/>
        </w:rPr>
        <w:t xml:space="preserve"> 45 </w:t>
      </w:r>
      <w:r>
        <w:rPr>
          <w:rFonts w:ascii="Times New Roman" w:eastAsia="宋体" w:hAnsi="Times New Roman" w:cs="Times New Roman"/>
          <w:sz w:val="24"/>
          <w:szCs w:val="32"/>
        </w:rPr>
        <w:t>个散户村（网格）开展了测报工作，整体参与率为</w:t>
      </w:r>
      <w:r>
        <w:rPr>
          <w:rFonts w:ascii="Times New Roman" w:eastAsia="宋体" w:hAnsi="Times New Roman" w:cs="Times New Roman"/>
          <w:sz w:val="24"/>
          <w:szCs w:val="32"/>
        </w:rPr>
        <w:t xml:space="preserve"> 83.8%</w:t>
      </w:r>
      <w:r>
        <w:rPr>
          <w:rFonts w:ascii="Times New Roman" w:eastAsia="宋体" w:hAnsi="Times New Roman" w:cs="Times New Roman"/>
          <w:sz w:val="24"/>
          <w:szCs w:val="32"/>
        </w:rPr>
        <w:t>，平均测报完成率</w:t>
      </w:r>
      <w:r>
        <w:rPr>
          <w:rFonts w:ascii="Times New Roman" w:eastAsia="宋体" w:hAnsi="Times New Roman" w:cs="Times New Roman"/>
          <w:sz w:val="24"/>
          <w:szCs w:val="32"/>
        </w:rPr>
        <w:t xml:space="preserve"> 84.9%</w:t>
      </w:r>
      <w:r>
        <w:rPr>
          <w:rFonts w:ascii="Times New Roman" w:eastAsia="宋体" w:hAnsi="Times New Roman" w:cs="Times New Roman"/>
          <w:sz w:val="24"/>
          <w:szCs w:val="32"/>
        </w:rPr>
        <w:t>（见表</w:t>
      </w:r>
      <w:r>
        <w:rPr>
          <w:rFonts w:ascii="Times New Roman" w:eastAsia="宋体" w:hAnsi="Times New Roman" w:cs="Times New Roman"/>
          <w:sz w:val="24"/>
          <w:szCs w:val="32"/>
        </w:rPr>
        <w:t xml:space="preserve"> 1</w:t>
      </w:r>
      <w:r>
        <w:rPr>
          <w:rFonts w:ascii="Times New Roman" w:eastAsia="宋体" w:hAnsi="Times New Roman" w:cs="Times New Roman"/>
          <w:sz w:val="24"/>
          <w:szCs w:val="32"/>
        </w:rPr>
        <w:t>）；共上报了</w:t>
      </w:r>
      <w:r>
        <w:rPr>
          <w:rFonts w:ascii="Times New Roman" w:eastAsia="宋体" w:hAnsi="Times New Roman" w:cs="Times New Roman"/>
          <w:sz w:val="24"/>
          <w:szCs w:val="32"/>
        </w:rPr>
        <w:t xml:space="preserve"> 1352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样点的</w:t>
      </w:r>
      <w:r>
        <w:rPr>
          <w:rFonts w:ascii="Times New Roman" w:eastAsia="宋体" w:hAnsi="Times New Roman" w:cs="Times New Roman"/>
          <w:sz w:val="24"/>
          <w:szCs w:val="32"/>
        </w:rPr>
        <w:t xml:space="preserve"> 48620 </w:t>
      </w:r>
      <w:r>
        <w:rPr>
          <w:rFonts w:ascii="Times New Roman" w:eastAsia="宋体" w:hAnsi="Times New Roman" w:cs="Times New Roman"/>
          <w:sz w:val="24"/>
          <w:szCs w:val="32"/>
        </w:rPr>
        <w:t>条测报数据，完成测报的样点数占总样点数的</w:t>
      </w:r>
      <w:r>
        <w:rPr>
          <w:rFonts w:ascii="Times New Roman" w:eastAsia="宋体" w:hAnsi="Times New Roman" w:cs="Times New Roman"/>
          <w:sz w:val="24"/>
          <w:szCs w:val="32"/>
        </w:rPr>
        <w:t xml:space="preserve"> 83.1%</w:t>
      </w:r>
      <w:r>
        <w:rPr>
          <w:rFonts w:ascii="Times New Roman" w:eastAsia="宋体" w:hAnsi="Times New Roman" w:cs="Times New Roman"/>
          <w:sz w:val="24"/>
          <w:szCs w:val="32"/>
        </w:rPr>
        <w:t>，上报数据整体质量较好</w:t>
      </w:r>
      <w:r>
        <w:rPr>
          <w:rFonts w:hint="eastAsia"/>
        </w:rPr>
        <w:t>。</w:t>
      </w:r>
    </w:p>
    <w:p w:rsidR="00623C64" w:rsidRDefault="00E02ABE">
      <w:pPr>
        <w:jc w:val="center"/>
      </w:pPr>
      <w:r>
        <w:rPr>
          <w:rFonts w:hint="eastAsia"/>
          <w:b/>
          <w:bCs/>
        </w:rPr>
        <w:t>表</w:t>
      </w:r>
      <w:r>
        <w:rPr>
          <w:rFonts w:hint="eastAsia"/>
          <w:b/>
          <w:bCs/>
        </w:rPr>
        <w:t xml:space="preserve"> 1 </w:t>
      </w:r>
      <w:r>
        <w:rPr>
          <w:rFonts w:hint="eastAsia"/>
          <w:b/>
          <w:bCs/>
        </w:rPr>
        <w:t>各市、县（区）测报完成情况统计表</w:t>
      </w:r>
    </w:p>
    <w:tbl>
      <w:tblPr>
        <w:tblStyle w:val="a3"/>
        <w:tblpPr w:leftFromText="180" w:rightFromText="180" w:vertAnchor="text" w:horzAnchor="page" w:tblpX="1797" w:tblpY="304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1052"/>
        <w:gridCol w:w="1052"/>
        <w:gridCol w:w="1036"/>
        <w:gridCol w:w="1036"/>
        <w:gridCol w:w="1033"/>
        <w:gridCol w:w="1036"/>
        <w:gridCol w:w="1036"/>
      </w:tblGrid>
      <w:tr w:rsidR="00623C64"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序号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市、县（区）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应测报样点数（</w:t>
            </w:r>
            <w:proofErr w:type="gramStart"/>
            <w:r>
              <w:rPr>
                <w:rFonts w:ascii="Times New Roman" w:eastAsia="宋体" w:hAnsi="Times New Roman" w:cs="Times New Roman"/>
              </w:rPr>
              <w:t>个</w:t>
            </w:r>
            <w:proofErr w:type="gramEnd"/>
            <w:r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4260" w:type="dxa"/>
            <w:gridSpan w:val="4"/>
            <w:tcBorders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各生产经营主体完成率</w:t>
            </w:r>
            <w:r>
              <w:rPr>
                <w:rFonts w:ascii="Times New Roman" w:eastAsia="宋体" w:hAnsi="Times New Roman" w:cs="Times New Roman"/>
              </w:rPr>
              <w:t>(%)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总完成率</w:t>
            </w:r>
            <w:r>
              <w:rPr>
                <w:rFonts w:ascii="Times New Roman" w:eastAsia="宋体" w:hAnsi="Times New Roman" w:cs="Times New Roman"/>
              </w:rPr>
              <w:t>(%)</w:t>
            </w:r>
          </w:p>
        </w:tc>
      </w:tr>
      <w:tr w:rsidR="00623C64">
        <w:tc>
          <w:tcPr>
            <w:tcW w:w="10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623C6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623C6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623C6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企业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合作社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家庭农场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散户</w:t>
            </w:r>
          </w:p>
        </w:tc>
        <w:tc>
          <w:tcPr>
            <w:tcW w:w="1065" w:type="dxa"/>
            <w:vMerge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623C6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623C64"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盐池县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11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青铜峡市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大武口区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西夏区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5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/>
              </w:rPr>
              <w:t>兴庆区</w:t>
            </w:r>
            <w:proofErr w:type="gramEnd"/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原州区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7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海原县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202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94.6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96.5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平罗县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75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93.8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同心县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159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97.5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81.5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88.7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农垦集团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87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87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11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惠农区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83.3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85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中宁县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681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85.6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82.3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83.8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84.4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沙坡头区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236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47.4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79.8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78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14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贺兰县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56.3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15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红</w:t>
            </w:r>
            <w:proofErr w:type="gramStart"/>
            <w:r>
              <w:rPr>
                <w:rFonts w:ascii="Times New Roman" w:eastAsia="宋体" w:hAnsi="Times New Roman" w:cs="Times New Roman"/>
              </w:rPr>
              <w:t>寺堡区</w:t>
            </w:r>
            <w:proofErr w:type="gramEnd"/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130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52.9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27.3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33.3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48.5</w:t>
            </w:r>
          </w:p>
        </w:tc>
      </w:tr>
      <w:tr w:rsidR="00623C64"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16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利通区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40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vAlign w:val="center"/>
          </w:tcPr>
          <w:p w:rsidR="00623C64" w:rsidRDefault="00E02ABE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40</w:t>
            </w:r>
          </w:p>
        </w:tc>
      </w:tr>
    </w:tbl>
    <w:p w:rsidR="00623C64" w:rsidRDefault="00E02ABE">
      <w:pPr>
        <w:spacing w:line="500" w:lineRule="exact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（二）近期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32"/>
        </w:rPr>
        <w:t>杞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32"/>
        </w:rPr>
        <w:t>主要病虫害发生情况分析</w:t>
      </w:r>
    </w:p>
    <w:p w:rsidR="00623C64" w:rsidRDefault="00E02ABE">
      <w:pPr>
        <w:spacing w:line="500" w:lineRule="exact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sz w:val="24"/>
          <w:szCs w:val="32"/>
        </w:rPr>
        <w:t>根据监测上报的数据反映，目前枸杞上发生的病虫害种类主要为枸杞瘿螨和</w:t>
      </w:r>
      <w:r>
        <w:rPr>
          <w:rFonts w:ascii="Times New Roman" w:eastAsia="宋体" w:hAnsi="Times New Roman" w:cs="Times New Roman"/>
          <w:sz w:val="24"/>
          <w:szCs w:val="32"/>
        </w:rPr>
        <w:lastRenderedPageBreak/>
        <w:t>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，枸杞瘿螨进入二次扩散危害期，枸杞木虱进入若虫危害期。枸杞瘿螨发生基地（网格）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24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，中度及以上发生基地（网格）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14 </w:t>
      </w:r>
      <w:r>
        <w:rPr>
          <w:rFonts w:ascii="Times New Roman" w:eastAsia="宋体" w:hAnsi="Times New Roman" w:cs="Times New Roman"/>
          <w:sz w:val="24"/>
          <w:szCs w:val="32"/>
        </w:rPr>
        <w:t>个。枸杞木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若虫发生基地（网格）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23 </w:t>
      </w:r>
      <w:r>
        <w:rPr>
          <w:rFonts w:ascii="Times New Roman" w:eastAsia="宋体" w:hAnsi="Times New Roman" w:cs="Times New Roman"/>
          <w:sz w:val="24"/>
          <w:szCs w:val="32"/>
        </w:rPr>
        <w:t>个，中度及以上发生基地（网格）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5 </w:t>
      </w:r>
      <w:r>
        <w:rPr>
          <w:rFonts w:ascii="Times New Roman" w:eastAsia="宋体" w:hAnsi="Times New Roman" w:cs="Times New Roman"/>
          <w:sz w:val="24"/>
          <w:szCs w:val="32"/>
        </w:rPr>
        <w:t>个；木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卵发生基地（网格）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18 </w:t>
      </w:r>
      <w:r>
        <w:rPr>
          <w:rFonts w:ascii="Times New Roman" w:eastAsia="宋体" w:hAnsi="Times New Roman" w:cs="Times New Roman"/>
          <w:sz w:val="24"/>
          <w:szCs w:val="32"/>
        </w:rPr>
        <w:t>个，中度及以上发生基地（网格）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9 </w:t>
      </w:r>
      <w:r>
        <w:rPr>
          <w:rFonts w:ascii="Times New Roman" w:eastAsia="宋体" w:hAnsi="Times New Roman" w:cs="Times New Roman"/>
          <w:sz w:val="24"/>
          <w:szCs w:val="32"/>
        </w:rPr>
        <w:t>个；木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成虫发生基地</w:t>
      </w:r>
      <w:r>
        <w:rPr>
          <w:rFonts w:ascii="Times New Roman" w:eastAsia="宋体" w:hAnsi="Times New Roman" w:cs="Times New Roman"/>
          <w:sz w:val="24"/>
          <w:szCs w:val="32"/>
        </w:rPr>
        <w:t xml:space="preserve"> 11 </w:t>
      </w:r>
      <w:r>
        <w:rPr>
          <w:rFonts w:ascii="Times New Roman" w:eastAsia="宋体" w:hAnsi="Times New Roman" w:cs="Times New Roman"/>
          <w:sz w:val="24"/>
          <w:szCs w:val="32"/>
        </w:rPr>
        <w:t>个，中度发生基地（网格）</w:t>
      </w:r>
      <w:r>
        <w:rPr>
          <w:rFonts w:ascii="Times New Roman" w:eastAsia="宋体" w:hAnsi="Times New Roman" w:cs="Times New Roman"/>
          <w:sz w:val="24"/>
          <w:szCs w:val="32"/>
        </w:rPr>
        <w:t xml:space="preserve">2 </w:t>
      </w:r>
      <w:r>
        <w:rPr>
          <w:rFonts w:ascii="Times New Roman" w:eastAsia="宋体" w:hAnsi="Times New Roman" w:cs="Times New Roman"/>
          <w:sz w:val="24"/>
          <w:szCs w:val="32"/>
        </w:rPr>
        <w:t>个。</w:t>
      </w:r>
    </w:p>
    <w:p w:rsidR="00623C64" w:rsidRDefault="00E02ABE">
      <w:pPr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 xml:space="preserve">1. </w:t>
      </w:r>
      <w:r>
        <w:rPr>
          <w:rFonts w:ascii="Times New Roman" w:eastAsia="宋体" w:hAnsi="Times New Roman" w:cs="Times New Roman"/>
          <w:b/>
          <w:bCs/>
          <w:sz w:val="24"/>
          <w:szCs w:val="32"/>
        </w:rPr>
        <w:t>枸杞瘿螨发生情况</w:t>
      </w:r>
    </w:p>
    <w:p w:rsidR="00623C64" w:rsidRDefault="00E02ABE">
      <w:pPr>
        <w:spacing w:line="500" w:lineRule="exact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sz w:val="24"/>
          <w:szCs w:val="32"/>
        </w:rPr>
        <w:t>根据测报结果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研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判，目前全区枸杞瘿螨基本进入二次扩散危害期，主要集中在中宁县、同心县、海原县、红寺堡区、盐池县等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24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个散户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村和专业合作社基地发生，具体发生情况统计详见图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1</w:t>
      </w:r>
      <w:r>
        <w:rPr>
          <w:rFonts w:ascii="Times New Roman" w:eastAsia="宋体" w:hAnsi="Times New Roman" w:cs="Times New Roman"/>
          <w:sz w:val="24"/>
          <w:szCs w:val="32"/>
        </w:rPr>
        <w:t>。其中，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中宁县孔滩村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、同心县麻疙瘩村枸杞种植园和海原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县代店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村等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11 </w:t>
      </w:r>
      <w:r>
        <w:rPr>
          <w:rFonts w:ascii="Times New Roman" w:eastAsia="宋体" w:hAnsi="Times New Roman" w:cs="Times New Roman"/>
          <w:sz w:val="24"/>
          <w:szCs w:val="32"/>
        </w:rPr>
        <w:t>个基地部分区域螨害指数在</w:t>
      </w:r>
      <w:r>
        <w:rPr>
          <w:rFonts w:ascii="Times New Roman" w:eastAsia="宋体" w:hAnsi="Times New Roman" w:cs="Times New Roman"/>
          <w:sz w:val="24"/>
          <w:szCs w:val="32"/>
        </w:rPr>
        <w:t xml:space="preserve"> 0.1-0.45</w:t>
      </w:r>
      <w:r>
        <w:rPr>
          <w:rFonts w:ascii="Times New Roman" w:eastAsia="宋体" w:hAnsi="Times New Roman" w:cs="Times New Roman"/>
          <w:sz w:val="24"/>
          <w:szCs w:val="32"/>
        </w:rPr>
        <w:t>，属于中度偏重发生；中宁县大战场镇石喇叭村经济合作社、万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杞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庄园和海原县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金红园枸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杞合作社基地部分区域属于中度发生；中宁县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杞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翔天、海原县营川红和农垦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巴浪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湖农场等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10 </w:t>
      </w:r>
      <w:r>
        <w:rPr>
          <w:rFonts w:ascii="Times New Roman" w:eastAsia="宋体" w:hAnsi="Times New Roman" w:cs="Times New Roman"/>
          <w:sz w:val="24"/>
          <w:szCs w:val="32"/>
        </w:rPr>
        <w:t>个基地部分区域属于轻度发生。全区枸杞瘿螨发生程度中度及以上基地情况分析详见图</w:t>
      </w:r>
      <w:r>
        <w:rPr>
          <w:rFonts w:ascii="Times New Roman" w:eastAsia="宋体" w:hAnsi="Times New Roman" w:cs="Times New Roman"/>
          <w:sz w:val="24"/>
          <w:szCs w:val="32"/>
        </w:rPr>
        <w:t>1</w:t>
      </w:r>
      <w:r>
        <w:rPr>
          <w:rFonts w:ascii="Times New Roman" w:eastAsia="宋体" w:hAnsi="Times New Roman" w:cs="Times New Roman"/>
          <w:sz w:val="24"/>
          <w:szCs w:val="32"/>
        </w:rPr>
        <w:t>。</w:t>
      </w:r>
    </w:p>
    <w:p w:rsidR="00623C64" w:rsidRDefault="00E02ABE">
      <w:r>
        <w:rPr>
          <w:noProof/>
        </w:rPr>
        <w:drawing>
          <wp:inline distT="0" distB="0" distL="114300" distR="114300">
            <wp:extent cx="5273675" cy="301815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1 </w:t>
      </w:r>
      <w:r>
        <w:rPr>
          <w:rFonts w:hint="eastAsia"/>
          <w:b/>
          <w:bCs/>
        </w:rPr>
        <w:t>全区枸杞瘿螨发生基地统计图</w:t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516505" cy="1781810"/>
            <wp:effectExtent l="0" t="0" r="1079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40305" cy="1727835"/>
            <wp:effectExtent l="0" t="0" r="1079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drawing>
          <wp:inline distT="0" distB="0" distL="114300" distR="114300">
            <wp:extent cx="2576195" cy="182435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82545" cy="18288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drawing>
          <wp:inline distT="0" distB="0" distL="114300" distR="114300">
            <wp:extent cx="2657475" cy="188468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96515" cy="183769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drawing>
          <wp:inline distT="0" distB="0" distL="114300" distR="114300">
            <wp:extent cx="2616200" cy="18510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37155" cy="1865630"/>
            <wp:effectExtent l="0" t="0" r="444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640965" cy="1868805"/>
            <wp:effectExtent l="0" t="0" r="6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96515" cy="1835785"/>
            <wp:effectExtent l="0" t="0" r="698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drawing>
          <wp:inline distT="0" distB="0" distL="114300" distR="114300">
            <wp:extent cx="1724660" cy="24377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8310" cy="2431415"/>
            <wp:effectExtent l="0" t="0" r="889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6405" cy="242951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2 </w:t>
      </w:r>
      <w:r>
        <w:rPr>
          <w:rFonts w:hint="eastAsia"/>
          <w:b/>
          <w:bCs/>
        </w:rPr>
        <w:t>枸杞瘿螨螨害发生程度中度及以上基地情况分析图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 xml:space="preserve">2. </w:t>
      </w:r>
      <w:r>
        <w:rPr>
          <w:rFonts w:ascii="Times New Roman" w:eastAsia="宋体" w:hAnsi="Times New Roman" w:cs="Times New Roman"/>
          <w:b/>
          <w:bCs/>
          <w:sz w:val="24"/>
          <w:szCs w:val="32"/>
        </w:rPr>
        <w:t>枸杞木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32"/>
        </w:rPr>
        <w:t>卵发生情况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sz w:val="24"/>
          <w:szCs w:val="32"/>
        </w:rPr>
        <w:t>根据测报结果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研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判，目前枸杞木虱发生为卵孵化后期，在中宁县、沙坡头区、同心县、海原县和红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寺堡区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9 </w:t>
      </w:r>
      <w:r>
        <w:rPr>
          <w:rFonts w:ascii="Times New Roman" w:eastAsia="宋体" w:hAnsi="Times New Roman" w:cs="Times New Roman"/>
          <w:sz w:val="24"/>
          <w:szCs w:val="32"/>
        </w:rPr>
        <w:t>个县（区）部分区域基地（网格）有发生（详见图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3</w:t>
      </w:r>
      <w:r>
        <w:rPr>
          <w:rFonts w:ascii="Times New Roman" w:eastAsia="宋体" w:hAnsi="Times New Roman" w:cs="Times New Roman"/>
          <w:sz w:val="24"/>
          <w:szCs w:val="32"/>
        </w:rPr>
        <w:t>）。其中，同心县金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财农业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种植专业合作社和农垦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巴浪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湖农场基地部分区域木虱卵基数依然很高，达到</w:t>
      </w:r>
      <w:r>
        <w:rPr>
          <w:rFonts w:ascii="Times New Roman" w:eastAsia="宋体" w:hAnsi="Times New Roman" w:cs="Times New Roman"/>
          <w:sz w:val="24"/>
          <w:szCs w:val="32"/>
        </w:rPr>
        <w:t xml:space="preserve"> 40-50 </w:t>
      </w:r>
      <w:r>
        <w:rPr>
          <w:rFonts w:ascii="Times New Roman" w:eastAsia="宋体" w:hAnsi="Times New Roman" w:cs="Times New Roman"/>
          <w:sz w:val="24"/>
          <w:szCs w:val="32"/>
        </w:rPr>
        <w:t>粒</w:t>
      </w:r>
      <w:r>
        <w:rPr>
          <w:rFonts w:ascii="Times New Roman" w:eastAsia="宋体" w:hAnsi="Times New Roman" w:cs="Times New Roman"/>
          <w:sz w:val="24"/>
          <w:szCs w:val="32"/>
        </w:rPr>
        <w:t>/</w:t>
      </w:r>
      <w:r>
        <w:rPr>
          <w:rFonts w:ascii="Times New Roman" w:eastAsia="宋体" w:hAnsi="Times New Roman" w:cs="Times New Roman"/>
          <w:sz w:val="24"/>
          <w:szCs w:val="32"/>
        </w:rPr>
        <w:t>枝条，处于重度发生；西夏区厨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佬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哥、宁宝世、海忠生态和银川奇源基地部分区域处于中度偏重，发生</w:t>
      </w:r>
      <w:r>
        <w:rPr>
          <w:rFonts w:ascii="Times New Roman" w:eastAsia="宋体" w:hAnsi="Times New Roman" w:cs="Times New Roman"/>
          <w:sz w:val="24"/>
          <w:szCs w:val="32"/>
        </w:rPr>
        <w:t xml:space="preserve">18 </w:t>
      </w:r>
      <w:r>
        <w:rPr>
          <w:rFonts w:ascii="Times New Roman" w:eastAsia="宋体" w:hAnsi="Times New Roman" w:cs="Times New Roman"/>
          <w:sz w:val="24"/>
          <w:szCs w:val="32"/>
        </w:rPr>
        <w:t>粒</w:t>
      </w:r>
      <w:r>
        <w:rPr>
          <w:rFonts w:ascii="Times New Roman" w:eastAsia="宋体" w:hAnsi="Times New Roman" w:cs="Times New Roman"/>
          <w:sz w:val="24"/>
          <w:szCs w:val="32"/>
        </w:rPr>
        <w:t>/</w:t>
      </w:r>
      <w:r>
        <w:rPr>
          <w:rFonts w:ascii="Times New Roman" w:eastAsia="宋体" w:hAnsi="Times New Roman" w:cs="Times New Roman"/>
          <w:sz w:val="24"/>
          <w:szCs w:val="32"/>
        </w:rPr>
        <w:t>枝条；惠农区东永固枸杞合作社、农垦暖泉农场和盐池县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赤源家庭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农场基地部分区域处于中度发生；同心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县德谷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、中宁县杞泰和红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寺堡区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地源等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9 </w:t>
      </w:r>
      <w:r>
        <w:rPr>
          <w:rFonts w:ascii="Times New Roman" w:eastAsia="宋体" w:hAnsi="Times New Roman" w:cs="Times New Roman"/>
          <w:sz w:val="24"/>
          <w:szCs w:val="32"/>
        </w:rPr>
        <w:t>个基地部分区域处于轻度发生。全区枸杞木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卵发生程度中度及以上基地情况分析详见图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4</w:t>
      </w:r>
      <w:r>
        <w:rPr>
          <w:rFonts w:ascii="Times New Roman" w:eastAsia="宋体" w:hAnsi="Times New Roman" w:cs="Times New Roman"/>
          <w:sz w:val="24"/>
          <w:szCs w:val="32"/>
        </w:rPr>
        <w:t>。</w:t>
      </w:r>
    </w:p>
    <w:p w:rsidR="00623C64" w:rsidRDefault="00E02ABE">
      <w:pPr>
        <w:tabs>
          <w:tab w:val="left" w:pos="6430"/>
        </w:tabs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016500" cy="29019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3 </w:t>
      </w:r>
      <w:r>
        <w:rPr>
          <w:rFonts w:hint="eastAsia"/>
          <w:b/>
          <w:bCs/>
        </w:rPr>
        <w:t>全区枸杞木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卵发生基地统计图</w:t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1605915" cy="2273935"/>
            <wp:effectExtent l="0" t="0" r="698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4170" cy="2287905"/>
            <wp:effectExtent l="0" t="0" r="1143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0995" cy="2280920"/>
            <wp:effectExtent l="0" t="0" r="190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127885" cy="1499870"/>
            <wp:effectExtent l="0" t="0" r="571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52015" cy="1517015"/>
            <wp:effectExtent l="0" t="0" r="698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4 </w:t>
      </w:r>
      <w:r>
        <w:rPr>
          <w:rFonts w:hint="eastAsia"/>
          <w:b/>
          <w:bCs/>
        </w:rPr>
        <w:t>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卵发生程度中度及以上基地情况分析图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 xml:space="preserve">3. </w:t>
      </w:r>
      <w:r>
        <w:rPr>
          <w:rFonts w:ascii="Times New Roman" w:eastAsia="宋体" w:hAnsi="Times New Roman" w:cs="Times New Roman"/>
          <w:b/>
          <w:bCs/>
          <w:sz w:val="24"/>
          <w:szCs w:val="32"/>
        </w:rPr>
        <w:t>枸杞木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32"/>
        </w:rPr>
        <w:t>若虫发生情况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</w:pPr>
      <w:r>
        <w:rPr>
          <w:rFonts w:ascii="Times New Roman" w:eastAsia="宋体" w:hAnsi="Times New Roman" w:cs="Times New Roman"/>
          <w:sz w:val="24"/>
          <w:szCs w:val="32"/>
        </w:rPr>
        <w:t>根据测报结果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研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判，全区枸杞木虱若虫控制较好，总体处于防治指标之下。在中宁县、沙坡头区、同心县、海原县、大武口区和盐池县中</w:t>
      </w:r>
      <w:r>
        <w:rPr>
          <w:rFonts w:ascii="Times New Roman" w:eastAsia="宋体" w:hAnsi="Times New Roman" w:cs="Times New Roman"/>
          <w:sz w:val="24"/>
          <w:szCs w:val="32"/>
        </w:rPr>
        <w:t xml:space="preserve"> 23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基地部分区域发生，具体发生情况统计详见图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5</w:t>
      </w:r>
      <w:r>
        <w:rPr>
          <w:rFonts w:ascii="Times New Roman" w:eastAsia="宋体" w:hAnsi="Times New Roman" w:cs="Times New Roman"/>
          <w:sz w:val="24"/>
          <w:szCs w:val="32"/>
        </w:rPr>
        <w:t>。其中，海原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县代店村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基地部分区域属于中</w:t>
      </w:r>
      <w:r>
        <w:rPr>
          <w:rFonts w:ascii="Times New Roman" w:eastAsia="宋体" w:hAnsi="Times New Roman" w:cs="Times New Roman"/>
          <w:sz w:val="24"/>
          <w:szCs w:val="32"/>
        </w:rPr>
        <w:lastRenderedPageBreak/>
        <w:t>度偏重发生；海原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县麻春村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、韩府村、中宁县红蕾枸杞专业合作社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和安滩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村基地部分区域属于中度发生；中宁县雪宝、沙坡头区万泉和同心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县盛坤等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 xml:space="preserve"> 18 </w:t>
      </w:r>
      <w:r>
        <w:rPr>
          <w:rFonts w:ascii="Times New Roman" w:eastAsia="宋体" w:hAnsi="Times New Roman" w:cs="Times New Roman"/>
          <w:sz w:val="24"/>
          <w:szCs w:val="32"/>
        </w:rPr>
        <w:t>个基地部分区域属于轻度发生。全区枸杞木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若虫发生程度中度及以上基地情况分析详见图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6</w:t>
      </w:r>
      <w:r>
        <w:rPr>
          <w:rFonts w:ascii="Times New Roman" w:eastAsia="宋体" w:hAnsi="Times New Roman" w:cs="Times New Roman"/>
          <w:sz w:val="24"/>
          <w:szCs w:val="32"/>
        </w:rPr>
        <w:t>。</w:t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69865" cy="3169920"/>
            <wp:effectExtent l="0" t="0" r="63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5 </w:t>
      </w:r>
      <w:r>
        <w:rPr>
          <w:rFonts w:hint="eastAsia"/>
          <w:b/>
          <w:bCs/>
        </w:rPr>
        <w:t>全区枸杞木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若虫发生基地统计图</w:t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334895" cy="1652905"/>
            <wp:effectExtent l="0" t="0" r="190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2675" cy="1661160"/>
            <wp:effectExtent l="0" t="0" r="952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420620" cy="1711325"/>
            <wp:effectExtent l="0" t="0" r="508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95855" cy="1694180"/>
            <wp:effectExtent l="0" t="0" r="444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6 </w:t>
      </w:r>
      <w:r>
        <w:rPr>
          <w:rFonts w:hint="eastAsia"/>
          <w:b/>
          <w:bCs/>
        </w:rPr>
        <w:t>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若虫发生程度中度及以上基地情况分析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lastRenderedPageBreak/>
        <w:t xml:space="preserve"> 4. </w:t>
      </w:r>
      <w:r>
        <w:rPr>
          <w:rFonts w:ascii="Times New Roman" w:eastAsia="宋体" w:hAnsi="Times New Roman" w:cs="Times New Roman"/>
          <w:b/>
          <w:bCs/>
          <w:sz w:val="24"/>
          <w:szCs w:val="32"/>
        </w:rPr>
        <w:t>枸杞木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32"/>
        </w:rPr>
        <w:t>成虫发生情况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</w:pPr>
      <w:r>
        <w:rPr>
          <w:rFonts w:ascii="Times New Roman" w:eastAsia="宋体" w:hAnsi="Times New Roman" w:cs="Times New Roman"/>
          <w:sz w:val="24"/>
          <w:szCs w:val="32"/>
        </w:rPr>
        <w:t>根据测报结果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研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判，目前全区枸杞木虱成虫为第一代发生后期，有</w:t>
      </w:r>
      <w:r>
        <w:rPr>
          <w:rFonts w:ascii="Times New Roman" w:eastAsia="宋体" w:hAnsi="Times New Roman" w:cs="Times New Roman"/>
          <w:sz w:val="24"/>
          <w:szCs w:val="32"/>
        </w:rPr>
        <w:t xml:space="preserve"> 11 </w:t>
      </w:r>
      <w:r>
        <w:rPr>
          <w:rFonts w:ascii="Times New Roman" w:eastAsia="宋体" w:hAnsi="Times New Roman" w:cs="Times New Roman"/>
          <w:sz w:val="24"/>
          <w:szCs w:val="32"/>
        </w:rPr>
        <w:t>个基地部分区域发生（详见图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7</w:t>
      </w:r>
      <w:r>
        <w:rPr>
          <w:rFonts w:ascii="Times New Roman" w:eastAsia="宋体" w:hAnsi="Times New Roman" w:cs="Times New Roman"/>
          <w:sz w:val="24"/>
          <w:szCs w:val="32"/>
        </w:rPr>
        <w:t>），除海原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县代店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村和沙坡头区万泉基地部分区域属于中度发生；农垦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巴浪湖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农场、海原县韩府村和沙坡头区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杞园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春等</w:t>
      </w:r>
      <w:r>
        <w:rPr>
          <w:rFonts w:ascii="Times New Roman" w:eastAsia="宋体" w:hAnsi="Times New Roman" w:cs="Times New Roman"/>
          <w:sz w:val="24"/>
          <w:szCs w:val="32"/>
        </w:rPr>
        <w:t xml:space="preserve"> 9 </w:t>
      </w:r>
      <w:r>
        <w:rPr>
          <w:rFonts w:ascii="Times New Roman" w:eastAsia="宋体" w:hAnsi="Times New Roman" w:cs="Times New Roman"/>
          <w:sz w:val="24"/>
          <w:szCs w:val="32"/>
        </w:rPr>
        <w:t>个基地部分仅为零星发生，平均</w:t>
      </w:r>
      <w:r>
        <w:rPr>
          <w:rFonts w:ascii="Times New Roman" w:eastAsia="宋体" w:hAnsi="Times New Roman" w:cs="Times New Roman"/>
          <w:sz w:val="24"/>
          <w:szCs w:val="32"/>
        </w:rPr>
        <w:t xml:space="preserve"> 1 </w:t>
      </w:r>
      <w:r>
        <w:rPr>
          <w:rFonts w:ascii="Times New Roman" w:eastAsia="宋体" w:hAnsi="Times New Roman" w:cs="Times New Roman"/>
          <w:sz w:val="24"/>
          <w:szCs w:val="32"/>
        </w:rPr>
        <w:t>头</w:t>
      </w:r>
      <w:r>
        <w:rPr>
          <w:rFonts w:ascii="Times New Roman" w:eastAsia="宋体" w:hAnsi="Times New Roman" w:cs="Times New Roman"/>
          <w:sz w:val="24"/>
          <w:szCs w:val="32"/>
        </w:rPr>
        <w:t>/</w:t>
      </w:r>
      <w:r>
        <w:rPr>
          <w:rFonts w:ascii="Times New Roman" w:eastAsia="宋体" w:hAnsi="Times New Roman" w:cs="Times New Roman"/>
          <w:sz w:val="24"/>
          <w:szCs w:val="32"/>
        </w:rPr>
        <w:t>枝条以下。全区枸杞木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成虫发生程度中度及以上基地情况分析详见图</w:t>
      </w:r>
      <w:r>
        <w:rPr>
          <w:rFonts w:ascii="Times New Roman" w:eastAsia="宋体" w:hAnsi="Times New Roman" w:cs="Times New Roman"/>
          <w:sz w:val="24"/>
          <w:szCs w:val="32"/>
        </w:rPr>
        <w:t xml:space="preserve"> 8</w:t>
      </w:r>
      <w:r>
        <w:rPr>
          <w:rFonts w:ascii="Times New Roman" w:eastAsia="宋体" w:hAnsi="Times New Roman" w:cs="Times New Roman"/>
          <w:sz w:val="24"/>
          <w:szCs w:val="32"/>
        </w:rPr>
        <w:t>。</w:t>
      </w:r>
    </w:p>
    <w:p w:rsidR="00623C64" w:rsidRDefault="00E02ABE">
      <w:pPr>
        <w:tabs>
          <w:tab w:val="left" w:pos="6430"/>
        </w:tabs>
      </w:pPr>
      <w:r>
        <w:rPr>
          <w:noProof/>
        </w:rPr>
        <w:drawing>
          <wp:inline distT="0" distB="0" distL="114300" distR="114300">
            <wp:extent cx="5273675" cy="1697355"/>
            <wp:effectExtent l="0" t="0" r="952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7 </w:t>
      </w:r>
      <w:r>
        <w:rPr>
          <w:rFonts w:hint="eastAsia"/>
          <w:b/>
          <w:bCs/>
        </w:rPr>
        <w:t>全区枸杞木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成虫发生基地统计图</w:t>
      </w:r>
    </w:p>
    <w:p w:rsidR="00623C64" w:rsidRDefault="00E02ABE">
      <w:pPr>
        <w:tabs>
          <w:tab w:val="left" w:pos="6430"/>
        </w:tabs>
        <w:jc w:val="center"/>
      </w:pPr>
      <w:r>
        <w:rPr>
          <w:noProof/>
        </w:rPr>
        <w:drawing>
          <wp:inline distT="0" distB="0" distL="114300" distR="114300">
            <wp:extent cx="2487930" cy="1761490"/>
            <wp:effectExtent l="0" t="0" r="127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05710" cy="1774190"/>
            <wp:effectExtent l="0" t="0" r="889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 xml:space="preserve"> 8 </w:t>
      </w:r>
      <w:r>
        <w:rPr>
          <w:rFonts w:hint="eastAsia"/>
          <w:b/>
          <w:bCs/>
        </w:rPr>
        <w:t>枸杞木</w:t>
      </w:r>
      <w:proofErr w:type="gramStart"/>
      <w:r>
        <w:rPr>
          <w:rFonts w:hint="eastAsia"/>
          <w:b/>
          <w:bCs/>
        </w:rPr>
        <w:t>虱</w:t>
      </w:r>
      <w:proofErr w:type="gramEnd"/>
      <w:r>
        <w:rPr>
          <w:rFonts w:hint="eastAsia"/>
          <w:b/>
          <w:bCs/>
        </w:rPr>
        <w:t>成虫发生程度中度及以上基地情况分析图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二、近期枸杞主要害虫发生趋势分析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</w:pPr>
      <w:r>
        <w:rPr>
          <w:rFonts w:ascii="Times New Roman" w:eastAsia="宋体" w:hAnsi="Times New Roman" w:cs="Times New Roman"/>
          <w:sz w:val="24"/>
          <w:szCs w:val="32"/>
        </w:rPr>
        <w:t>根据自治区气象局预测，预计</w:t>
      </w:r>
      <w:r>
        <w:rPr>
          <w:rFonts w:ascii="Times New Roman" w:eastAsia="宋体" w:hAnsi="Times New Roman" w:cs="Times New Roman"/>
          <w:sz w:val="24"/>
          <w:szCs w:val="32"/>
        </w:rPr>
        <w:t xml:space="preserve"> 2022 </w:t>
      </w:r>
      <w:r>
        <w:rPr>
          <w:rFonts w:ascii="Times New Roman" w:eastAsia="宋体" w:hAnsi="Times New Roman" w:cs="Times New Roman"/>
          <w:sz w:val="24"/>
          <w:szCs w:val="32"/>
        </w:rPr>
        <w:t>年</w:t>
      </w:r>
      <w:r>
        <w:rPr>
          <w:rFonts w:ascii="Times New Roman" w:eastAsia="宋体" w:hAnsi="Times New Roman" w:cs="Times New Roman"/>
          <w:sz w:val="24"/>
          <w:szCs w:val="32"/>
        </w:rPr>
        <w:t xml:space="preserve"> 5 </w:t>
      </w:r>
      <w:r>
        <w:rPr>
          <w:rFonts w:ascii="Times New Roman" w:eastAsia="宋体" w:hAnsi="Times New Roman" w:cs="Times New Roman"/>
          <w:sz w:val="24"/>
          <w:szCs w:val="32"/>
        </w:rPr>
        <w:t>月上旬至中旬（</w:t>
      </w:r>
      <w:r>
        <w:rPr>
          <w:rFonts w:ascii="Times New Roman" w:eastAsia="宋体" w:hAnsi="Times New Roman" w:cs="Times New Roman"/>
          <w:sz w:val="24"/>
          <w:szCs w:val="32"/>
        </w:rPr>
        <w:t>5</w:t>
      </w:r>
      <w:r>
        <w:rPr>
          <w:rFonts w:ascii="Times New Roman" w:eastAsia="宋体" w:hAnsi="Times New Roman" w:cs="Times New Roman"/>
          <w:sz w:val="24"/>
          <w:szCs w:val="32"/>
        </w:rPr>
        <w:t>月</w:t>
      </w:r>
      <w:r>
        <w:rPr>
          <w:rFonts w:ascii="Times New Roman" w:eastAsia="宋体" w:hAnsi="Times New Roman" w:cs="Times New Roman"/>
          <w:sz w:val="24"/>
          <w:szCs w:val="32"/>
        </w:rPr>
        <w:t xml:space="preserve"> 1</w:t>
      </w:r>
      <w:r>
        <w:rPr>
          <w:rFonts w:ascii="Times New Roman" w:eastAsia="宋体" w:hAnsi="Times New Roman" w:cs="Times New Roman"/>
          <w:sz w:val="24"/>
          <w:szCs w:val="32"/>
        </w:rPr>
        <w:t>～</w:t>
      </w:r>
      <w:r>
        <w:rPr>
          <w:rFonts w:ascii="Times New Roman" w:eastAsia="宋体" w:hAnsi="Times New Roman" w:cs="Times New Roman"/>
          <w:sz w:val="24"/>
          <w:szCs w:val="32"/>
        </w:rPr>
        <w:t xml:space="preserve">20 </w:t>
      </w:r>
      <w:r>
        <w:rPr>
          <w:rFonts w:ascii="Times New Roman" w:eastAsia="宋体" w:hAnsi="Times New Roman" w:cs="Times New Roman"/>
          <w:sz w:val="24"/>
          <w:szCs w:val="32"/>
        </w:rPr>
        <w:t>日），石嘴山市、银川市、吴忠市、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中卫市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平均气温在</w:t>
      </w:r>
      <w:r>
        <w:rPr>
          <w:rFonts w:ascii="Times New Roman" w:eastAsia="宋体" w:hAnsi="Times New Roman" w:cs="Times New Roman"/>
          <w:sz w:val="24"/>
          <w:szCs w:val="32"/>
        </w:rPr>
        <w:t>15</w:t>
      </w:r>
      <w:r>
        <w:rPr>
          <w:rFonts w:ascii="Times New Roman" w:eastAsia="宋体" w:hAnsi="Times New Roman" w:cs="Times New Roman"/>
          <w:sz w:val="24"/>
          <w:szCs w:val="32"/>
        </w:rPr>
        <w:t>～</w:t>
      </w:r>
      <w:r>
        <w:rPr>
          <w:rFonts w:ascii="Times New Roman" w:eastAsia="宋体" w:hAnsi="Times New Roman" w:cs="Times New Roman"/>
          <w:sz w:val="24"/>
          <w:szCs w:val="32"/>
        </w:rPr>
        <w:t>20℃</w:t>
      </w:r>
      <w:r>
        <w:rPr>
          <w:rFonts w:ascii="Times New Roman" w:eastAsia="宋体" w:hAnsi="Times New Roman" w:cs="Times New Roman"/>
          <w:sz w:val="24"/>
          <w:szCs w:val="32"/>
        </w:rPr>
        <w:t>之间，与常年同期相比偏高</w:t>
      </w:r>
      <w:r>
        <w:rPr>
          <w:rFonts w:ascii="Times New Roman" w:eastAsia="宋体" w:hAnsi="Times New Roman" w:cs="Times New Roman"/>
          <w:sz w:val="24"/>
          <w:szCs w:val="32"/>
        </w:rPr>
        <w:t xml:space="preserve"> 0.5</w:t>
      </w:r>
      <w:r>
        <w:rPr>
          <w:rFonts w:ascii="Times New Roman" w:eastAsia="宋体" w:hAnsi="Times New Roman" w:cs="Times New Roman"/>
          <w:sz w:val="24"/>
          <w:szCs w:val="32"/>
        </w:rPr>
        <w:t>～</w:t>
      </w:r>
      <w:r>
        <w:rPr>
          <w:rFonts w:ascii="Times New Roman" w:eastAsia="宋体" w:hAnsi="Times New Roman" w:cs="Times New Roman"/>
          <w:sz w:val="24"/>
          <w:szCs w:val="32"/>
        </w:rPr>
        <w:t>1.0℃</w:t>
      </w:r>
      <w:r>
        <w:rPr>
          <w:rFonts w:ascii="Times New Roman" w:eastAsia="宋体" w:hAnsi="Times New Roman" w:cs="Times New Roman"/>
          <w:sz w:val="24"/>
          <w:szCs w:val="32"/>
        </w:rPr>
        <w:t>；固原市在</w:t>
      </w:r>
      <w:r>
        <w:rPr>
          <w:rFonts w:ascii="Times New Roman" w:eastAsia="宋体" w:hAnsi="Times New Roman" w:cs="Times New Roman"/>
          <w:sz w:val="24"/>
          <w:szCs w:val="32"/>
        </w:rPr>
        <w:t xml:space="preserve"> 5</w:t>
      </w:r>
      <w:r>
        <w:rPr>
          <w:rFonts w:ascii="Times New Roman" w:eastAsia="宋体" w:hAnsi="Times New Roman" w:cs="Times New Roman"/>
          <w:sz w:val="24"/>
          <w:szCs w:val="32"/>
        </w:rPr>
        <w:t>～</w:t>
      </w:r>
      <w:r>
        <w:rPr>
          <w:rFonts w:ascii="Times New Roman" w:eastAsia="宋体" w:hAnsi="Times New Roman" w:cs="Times New Roman"/>
          <w:sz w:val="24"/>
          <w:szCs w:val="32"/>
        </w:rPr>
        <w:t>15℃</w:t>
      </w:r>
      <w:r>
        <w:rPr>
          <w:rFonts w:ascii="Times New Roman" w:eastAsia="宋体" w:hAnsi="Times New Roman" w:cs="Times New Roman"/>
          <w:sz w:val="24"/>
          <w:szCs w:val="32"/>
        </w:rPr>
        <w:t>之间，偏高</w:t>
      </w:r>
      <w:r>
        <w:rPr>
          <w:rFonts w:ascii="Times New Roman" w:eastAsia="宋体" w:hAnsi="Times New Roman" w:cs="Times New Roman"/>
          <w:sz w:val="24"/>
          <w:szCs w:val="32"/>
        </w:rPr>
        <w:t xml:space="preserve"> 0.5℃</w:t>
      </w:r>
      <w:r>
        <w:rPr>
          <w:rFonts w:ascii="Times New Roman" w:eastAsia="宋体" w:hAnsi="Times New Roman" w:cs="Times New Roman"/>
          <w:sz w:val="24"/>
          <w:szCs w:val="32"/>
        </w:rPr>
        <w:t>以内。与常年同期相比，石嘴山市降水量偏少</w:t>
      </w:r>
      <w:r>
        <w:rPr>
          <w:rFonts w:ascii="Times New Roman" w:eastAsia="宋体" w:hAnsi="Times New Roman" w:cs="Times New Roman"/>
          <w:sz w:val="24"/>
          <w:szCs w:val="32"/>
        </w:rPr>
        <w:t xml:space="preserve"> 20%</w:t>
      </w:r>
      <w:r>
        <w:rPr>
          <w:rFonts w:ascii="Times New Roman" w:eastAsia="宋体" w:hAnsi="Times New Roman" w:cs="Times New Roman"/>
          <w:sz w:val="24"/>
          <w:szCs w:val="32"/>
        </w:rPr>
        <w:t>～</w:t>
      </w:r>
      <w:r>
        <w:rPr>
          <w:rFonts w:ascii="Times New Roman" w:eastAsia="宋体" w:hAnsi="Times New Roman" w:cs="Times New Roman"/>
          <w:sz w:val="24"/>
          <w:szCs w:val="32"/>
        </w:rPr>
        <w:t>30%</w:t>
      </w:r>
      <w:r>
        <w:rPr>
          <w:rFonts w:ascii="Times New Roman" w:eastAsia="宋体" w:hAnsi="Times New Roman" w:cs="Times New Roman"/>
          <w:sz w:val="24"/>
          <w:szCs w:val="32"/>
        </w:rPr>
        <w:t>，银川市、吴忠市利通区、青铜峡市、盐池县、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中卫市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沙坡头区、中宁县降水量偏少</w:t>
      </w:r>
      <w:r>
        <w:rPr>
          <w:rFonts w:ascii="Times New Roman" w:eastAsia="宋体" w:hAnsi="Times New Roman" w:cs="Times New Roman"/>
          <w:sz w:val="24"/>
          <w:szCs w:val="32"/>
        </w:rPr>
        <w:t xml:space="preserve"> 20%</w:t>
      </w:r>
      <w:r>
        <w:rPr>
          <w:rFonts w:ascii="Times New Roman" w:eastAsia="宋体" w:hAnsi="Times New Roman" w:cs="Times New Roman"/>
          <w:sz w:val="24"/>
          <w:szCs w:val="32"/>
        </w:rPr>
        <w:t>以内，吴忠市同心县、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中卫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市海原县、固原市降水量偏多</w:t>
      </w:r>
      <w:r>
        <w:rPr>
          <w:rFonts w:ascii="Times New Roman" w:eastAsia="宋体" w:hAnsi="Times New Roman" w:cs="Times New Roman"/>
          <w:sz w:val="24"/>
          <w:szCs w:val="32"/>
        </w:rPr>
        <w:t xml:space="preserve"> 20%</w:t>
      </w:r>
      <w:r>
        <w:rPr>
          <w:rFonts w:ascii="Times New Roman" w:eastAsia="宋体" w:hAnsi="Times New Roman" w:cs="Times New Roman"/>
          <w:sz w:val="24"/>
          <w:szCs w:val="32"/>
        </w:rPr>
        <w:t>以内。</w:t>
      </w:r>
    </w:p>
    <w:p w:rsidR="00623C64" w:rsidRDefault="00E02ABE">
      <w:pPr>
        <w:tabs>
          <w:tab w:val="left" w:pos="6430"/>
        </w:tabs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1751330" cy="2122805"/>
            <wp:effectExtent l="0" t="0" r="127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22120" cy="2228215"/>
            <wp:effectExtent l="0" t="0" r="508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64" w:rsidRDefault="00E02ABE">
      <w:pPr>
        <w:tabs>
          <w:tab w:val="left" w:pos="6430"/>
        </w:tabs>
        <w:jc w:val="center"/>
      </w:pPr>
      <w:r>
        <w:rPr>
          <w:rFonts w:hint="eastAsia"/>
        </w:rPr>
        <w:t xml:space="preserve">  </w:t>
      </w:r>
      <w:r>
        <w:rPr>
          <w:rFonts w:hint="eastAsia"/>
        </w:rPr>
        <w:t>图</w:t>
      </w:r>
      <w:r>
        <w:rPr>
          <w:rFonts w:hint="eastAsia"/>
        </w:rPr>
        <w:t xml:space="preserve"> 9 2022 </w:t>
      </w:r>
      <w:r>
        <w:rPr>
          <w:rFonts w:hint="eastAsia"/>
        </w:rPr>
        <w:t>年</w:t>
      </w:r>
      <w:r>
        <w:rPr>
          <w:rFonts w:hint="eastAsia"/>
        </w:rPr>
        <w:t xml:space="preserve"> 5 </w:t>
      </w:r>
      <w:r>
        <w:rPr>
          <w:rFonts w:hint="eastAsia"/>
        </w:rPr>
        <w:t>月</w:t>
      </w:r>
      <w:r>
        <w:rPr>
          <w:rFonts w:hint="eastAsia"/>
        </w:rPr>
        <w:t xml:space="preserve"> 1</w:t>
      </w:r>
      <w:r>
        <w:rPr>
          <w:rFonts w:hint="eastAsia"/>
        </w:rPr>
        <w:t>～</w:t>
      </w:r>
      <w:r>
        <w:rPr>
          <w:rFonts w:hint="eastAsia"/>
        </w:rPr>
        <w:t xml:space="preserve">20 </w:t>
      </w:r>
      <w:r>
        <w:rPr>
          <w:rFonts w:hint="eastAsia"/>
        </w:rPr>
        <w:t>日</w:t>
      </w:r>
      <w:r>
        <w:rPr>
          <w:rFonts w:hint="eastAsia"/>
        </w:rPr>
        <w:t xml:space="preserve">    </w:t>
      </w:r>
      <w:r>
        <w:rPr>
          <w:rFonts w:hint="eastAsia"/>
        </w:rPr>
        <w:t>图</w:t>
      </w:r>
      <w:r>
        <w:rPr>
          <w:rFonts w:hint="eastAsia"/>
        </w:rPr>
        <w:t xml:space="preserve"> 10 2022 </w:t>
      </w:r>
      <w:r>
        <w:rPr>
          <w:rFonts w:hint="eastAsia"/>
        </w:rPr>
        <w:t>年</w:t>
      </w:r>
      <w:r>
        <w:rPr>
          <w:rFonts w:hint="eastAsia"/>
        </w:rPr>
        <w:t xml:space="preserve"> 5 </w:t>
      </w:r>
      <w:r>
        <w:rPr>
          <w:rFonts w:hint="eastAsia"/>
        </w:rPr>
        <w:t>月</w:t>
      </w:r>
      <w:r>
        <w:rPr>
          <w:rFonts w:hint="eastAsia"/>
        </w:rPr>
        <w:t xml:space="preserve"> 1</w:t>
      </w:r>
      <w:r>
        <w:rPr>
          <w:rFonts w:hint="eastAsia"/>
        </w:rPr>
        <w:t>～</w:t>
      </w:r>
      <w:r>
        <w:rPr>
          <w:rFonts w:hint="eastAsia"/>
        </w:rPr>
        <w:t xml:space="preserve">20 </w:t>
      </w:r>
      <w:r>
        <w:rPr>
          <w:rFonts w:hint="eastAsia"/>
        </w:rPr>
        <w:t>日</w:t>
      </w:r>
    </w:p>
    <w:p w:rsidR="00623C64" w:rsidRDefault="00E02ABE">
      <w:pPr>
        <w:tabs>
          <w:tab w:val="left" w:pos="6430"/>
        </w:tabs>
        <w:jc w:val="center"/>
      </w:pPr>
      <w:r>
        <w:rPr>
          <w:rFonts w:hint="eastAsia"/>
        </w:rPr>
        <w:t xml:space="preserve">   </w:t>
      </w:r>
      <w:r>
        <w:rPr>
          <w:rFonts w:hint="eastAsia"/>
        </w:rPr>
        <w:t>平均气温预测图</w:t>
      </w:r>
      <w:r>
        <w:rPr>
          <w:rFonts w:hint="eastAsia"/>
        </w:rPr>
        <w:t>(</w:t>
      </w:r>
      <w:r>
        <w:rPr>
          <w:rFonts w:hint="eastAsia"/>
        </w:rPr>
        <w:t>℃</w:t>
      </w:r>
      <w:r>
        <w:rPr>
          <w:rFonts w:hint="eastAsia"/>
        </w:rPr>
        <w:t xml:space="preserve">)             </w:t>
      </w:r>
      <w:r>
        <w:rPr>
          <w:rFonts w:hint="eastAsia"/>
        </w:rPr>
        <w:t>平均气温距</w:t>
      </w:r>
      <w:proofErr w:type="gramStart"/>
      <w:r>
        <w:rPr>
          <w:rFonts w:hint="eastAsia"/>
        </w:rPr>
        <w:t>平预测</w:t>
      </w:r>
      <w:proofErr w:type="gramEnd"/>
      <w:r>
        <w:rPr>
          <w:rFonts w:hint="eastAsia"/>
        </w:rPr>
        <w:t>图</w:t>
      </w:r>
      <w:r>
        <w:rPr>
          <w:rFonts w:hint="eastAsia"/>
        </w:rPr>
        <w:t>(</w:t>
      </w:r>
      <w:r>
        <w:rPr>
          <w:rFonts w:hint="eastAsia"/>
        </w:rPr>
        <w:t>℃</w:t>
      </w:r>
      <w:r>
        <w:rPr>
          <w:rFonts w:hint="eastAsia"/>
        </w:rPr>
        <w:t>)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sz w:val="24"/>
          <w:szCs w:val="32"/>
        </w:rPr>
        <w:t>目前全区枸杞瘿螨进入二次扩散危害期，除</w:t>
      </w:r>
      <w:r>
        <w:rPr>
          <w:rFonts w:ascii="Times New Roman" w:eastAsia="宋体" w:hAnsi="Times New Roman" w:cs="Times New Roman"/>
          <w:sz w:val="24"/>
          <w:szCs w:val="32"/>
        </w:rPr>
        <w:t xml:space="preserve"> 14 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个散户村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和合作社基地中度以上发生以外，整体枸杞瘿螨控制较好；枸杞木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前期防治效果明显，若虫虫口数量总体处于防治指标之下。</w:t>
      </w:r>
      <w:r>
        <w:rPr>
          <w:rFonts w:ascii="Times New Roman" w:eastAsia="宋体" w:hAnsi="Times New Roman" w:cs="Times New Roman"/>
          <w:sz w:val="24"/>
          <w:szCs w:val="32"/>
        </w:rPr>
        <w:t>5</w:t>
      </w:r>
      <w:r>
        <w:rPr>
          <w:rFonts w:ascii="Times New Roman" w:eastAsia="宋体" w:hAnsi="Times New Roman" w:cs="Times New Roman"/>
          <w:sz w:val="24"/>
          <w:szCs w:val="32"/>
        </w:rPr>
        <w:t>月上中旬偏高气温和偏少降雨量有助于枸杞瘿螨发生和危害，结合第二次害虫发生情况和预测模型分析，预期</w:t>
      </w:r>
      <w:r>
        <w:rPr>
          <w:rFonts w:ascii="Times New Roman" w:eastAsia="宋体" w:hAnsi="Times New Roman" w:cs="Times New Roman"/>
          <w:sz w:val="24"/>
          <w:szCs w:val="32"/>
        </w:rPr>
        <w:t xml:space="preserve"> 5 </w:t>
      </w:r>
      <w:r>
        <w:rPr>
          <w:rFonts w:ascii="Times New Roman" w:eastAsia="宋体" w:hAnsi="Times New Roman" w:cs="Times New Roman"/>
          <w:sz w:val="24"/>
          <w:szCs w:val="32"/>
        </w:rPr>
        <w:t>月中旬枸杞瘿螨在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全区呈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中度发生，枸杞木虱呈中度偏轻发生。全区各种植基地需抓住</w:t>
      </w:r>
      <w:r>
        <w:rPr>
          <w:rFonts w:ascii="Times New Roman" w:eastAsia="宋体" w:hAnsi="Times New Roman" w:cs="Times New Roman"/>
          <w:sz w:val="24"/>
          <w:szCs w:val="32"/>
        </w:rPr>
        <w:t xml:space="preserve"> 5 </w:t>
      </w:r>
      <w:r>
        <w:rPr>
          <w:rFonts w:ascii="Times New Roman" w:eastAsia="宋体" w:hAnsi="Times New Roman" w:cs="Times New Roman"/>
          <w:sz w:val="24"/>
          <w:szCs w:val="32"/>
        </w:rPr>
        <w:t>月上中旬防治关键期采用低毒高效化学药剂防治，有效降低枸杞瘿螨虫口基数；同时枸杞木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虱各虫态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在中度发生以上的基地也需加强防治一次；保证采果期生物防治措施的顺利实施。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三、防控建议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sz w:val="24"/>
          <w:szCs w:val="32"/>
        </w:rPr>
        <w:t>根据上报的枸杞病虫害发生情况及趋势分析结果，请各市、县（区）枸杞产业主管部门及枸杞种植生产主体高度重视，特别是加强散户种植基地的防控工作。应用枸杞病虫害</w:t>
      </w:r>
      <w:r>
        <w:rPr>
          <w:rFonts w:ascii="Times New Roman" w:eastAsia="宋体" w:hAnsi="Times New Roman" w:cs="Times New Roman"/>
          <w:sz w:val="24"/>
          <w:szCs w:val="32"/>
        </w:rPr>
        <w:t>“</w:t>
      </w:r>
      <w:r>
        <w:rPr>
          <w:rFonts w:ascii="Times New Roman" w:eastAsia="宋体" w:hAnsi="Times New Roman" w:cs="Times New Roman"/>
          <w:sz w:val="24"/>
          <w:szCs w:val="32"/>
        </w:rPr>
        <w:t>五步法</w:t>
      </w:r>
      <w:r>
        <w:rPr>
          <w:rFonts w:ascii="Times New Roman" w:eastAsia="宋体" w:hAnsi="Times New Roman" w:cs="Times New Roman"/>
          <w:sz w:val="24"/>
          <w:szCs w:val="32"/>
        </w:rPr>
        <w:t>”</w:t>
      </w:r>
      <w:r>
        <w:rPr>
          <w:rFonts w:ascii="Times New Roman" w:eastAsia="宋体" w:hAnsi="Times New Roman" w:cs="Times New Roman"/>
          <w:sz w:val="24"/>
          <w:szCs w:val="32"/>
        </w:rPr>
        <w:t>绿色防控技术，结合种植区物候和病虫害发生的实际情况，按照《宁夏枸杞生产推荐农药种使用剂量及稀释倍数指导目录》选择使用的农药种类和使用浓度，重点针对枸杞瘿螨和枸杞木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及时开展绿色防控。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（一）枸杞瘿螨防控。</w:t>
      </w:r>
      <w:r>
        <w:rPr>
          <w:rFonts w:ascii="Times New Roman" w:eastAsia="宋体" w:hAnsi="Times New Roman" w:cs="Times New Roman"/>
          <w:sz w:val="24"/>
          <w:szCs w:val="32"/>
        </w:rPr>
        <w:t>根据枸杞瘿螨发生规律，结合不同产区枸杞瘿螨发生情况，目前瘿螨属于二次扩散危害期，主要危害新稍，应及时抹芽，阻断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侵染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传播，建议采用内吸性杀螨剂及时防治。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（二）枸杞木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32"/>
        </w:rPr>
        <w:t>防控。</w:t>
      </w:r>
      <w:r>
        <w:rPr>
          <w:rFonts w:ascii="Times New Roman" w:eastAsia="宋体" w:hAnsi="Times New Roman" w:cs="Times New Roman"/>
          <w:sz w:val="24"/>
          <w:szCs w:val="32"/>
        </w:rPr>
        <w:t>根据不同产区枸杞木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发生情况，目前枸杞木虱普遍进入若虫危害期，是有效降低木虱虫口的关键时期。若无其它害虫，建议配方为</w:t>
      </w:r>
      <w:r>
        <w:rPr>
          <w:rFonts w:ascii="Times New Roman" w:eastAsia="宋体" w:hAnsi="Times New Roman" w:cs="Times New Roman"/>
          <w:sz w:val="24"/>
          <w:szCs w:val="32"/>
        </w:rPr>
        <w:t xml:space="preserve"> </w:t>
      </w:r>
      <w:r>
        <w:rPr>
          <w:rFonts w:ascii="Times New Roman" w:eastAsia="宋体" w:hAnsi="Times New Roman" w:cs="Times New Roman"/>
          <w:sz w:val="24"/>
          <w:szCs w:val="32"/>
        </w:rPr>
        <w:lastRenderedPageBreak/>
        <w:t>22.4%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螺虫乙酯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悬浮剂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2500 </w:t>
      </w:r>
      <w:r>
        <w:rPr>
          <w:rFonts w:ascii="Times New Roman" w:eastAsia="宋体" w:hAnsi="Times New Roman" w:cs="Times New Roman"/>
          <w:sz w:val="24"/>
          <w:szCs w:val="32"/>
        </w:rPr>
        <w:t>倍，或</w:t>
      </w:r>
      <w:r>
        <w:rPr>
          <w:rFonts w:ascii="Times New Roman" w:eastAsia="宋体" w:hAnsi="Times New Roman" w:cs="Times New Roman"/>
          <w:sz w:val="24"/>
          <w:szCs w:val="32"/>
        </w:rPr>
        <w:t xml:space="preserve"> 50%</w:t>
      </w:r>
      <w:r>
        <w:rPr>
          <w:rFonts w:ascii="Times New Roman" w:eastAsia="宋体" w:hAnsi="Times New Roman" w:cs="Times New Roman"/>
          <w:sz w:val="24"/>
          <w:szCs w:val="32"/>
        </w:rPr>
        <w:t>氟啶虫胺腈水分散粒剂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5000 </w:t>
      </w:r>
      <w:r>
        <w:rPr>
          <w:rFonts w:ascii="Times New Roman" w:eastAsia="宋体" w:hAnsi="Times New Roman" w:cs="Times New Roman"/>
          <w:sz w:val="24"/>
          <w:szCs w:val="32"/>
        </w:rPr>
        <w:t>倍。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（三）建议配方。</w:t>
      </w:r>
      <w:r>
        <w:rPr>
          <w:rFonts w:ascii="Times New Roman" w:eastAsia="宋体" w:hAnsi="Times New Roman" w:cs="Times New Roman"/>
          <w:sz w:val="24"/>
          <w:szCs w:val="32"/>
        </w:rPr>
        <w:t>按照预测结果，在有枸杞木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发生区域同时抓住瘿螨二次扩散危害防治关键期，务必在未来</w:t>
      </w:r>
      <w:r>
        <w:rPr>
          <w:rFonts w:ascii="Times New Roman" w:eastAsia="宋体" w:hAnsi="Times New Roman" w:cs="Times New Roman"/>
          <w:sz w:val="24"/>
          <w:szCs w:val="32"/>
        </w:rPr>
        <w:t xml:space="preserve"> 7 </w:t>
      </w:r>
      <w:r>
        <w:rPr>
          <w:rFonts w:ascii="Times New Roman" w:eastAsia="宋体" w:hAnsi="Times New Roman" w:cs="Times New Roman"/>
          <w:sz w:val="24"/>
          <w:szCs w:val="32"/>
        </w:rPr>
        <w:t>天内采取</w:t>
      </w:r>
      <w:r>
        <w:rPr>
          <w:rFonts w:ascii="Times New Roman" w:eastAsia="宋体" w:hAnsi="Times New Roman" w:cs="Times New Roman"/>
          <w:sz w:val="24"/>
          <w:szCs w:val="32"/>
        </w:rPr>
        <w:t>“</w:t>
      </w:r>
      <w:r>
        <w:rPr>
          <w:rFonts w:ascii="Times New Roman" w:eastAsia="宋体" w:hAnsi="Times New Roman" w:cs="Times New Roman"/>
          <w:sz w:val="24"/>
          <w:szCs w:val="32"/>
        </w:rPr>
        <w:t>杀虫剂</w:t>
      </w:r>
      <w:r>
        <w:rPr>
          <w:rFonts w:ascii="Times New Roman" w:eastAsia="宋体" w:hAnsi="Times New Roman" w:cs="Times New Roman"/>
          <w:sz w:val="24"/>
          <w:szCs w:val="32"/>
        </w:rPr>
        <w:t>+</w:t>
      </w:r>
      <w:r>
        <w:rPr>
          <w:rFonts w:ascii="Times New Roman" w:eastAsia="宋体" w:hAnsi="Times New Roman" w:cs="Times New Roman"/>
          <w:sz w:val="24"/>
          <w:szCs w:val="32"/>
        </w:rPr>
        <w:t>杀螨剂</w:t>
      </w:r>
      <w:r>
        <w:rPr>
          <w:rFonts w:ascii="Times New Roman" w:eastAsia="宋体" w:hAnsi="Times New Roman" w:cs="Times New Roman"/>
          <w:sz w:val="24"/>
          <w:szCs w:val="32"/>
        </w:rPr>
        <w:t>”</w:t>
      </w:r>
      <w:r>
        <w:rPr>
          <w:rFonts w:ascii="Times New Roman" w:eastAsia="宋体" w:hAnsi="Times New Roman" w:cs="Times New Roman"/>
          <w:sz w:val="24"/>
          <w:szCs w:val="32"/>
        </w:rPr>
        <w:t>的配方进行药剂防治。建议配方为</w:t>
      </w:r>
      <w:r>
        <w:rPr>
          <w:rFonts w:ascii="Times New Roman" w:eastAsia="宋体" w:hAnsi="Times New Roman" w:cs="Times New Roman"/>
          <w:sz w:val="24"/>
          <w:szCs w:val="32"/>
        </w:rPr>
        <w:t xml:space="preserve"> 50%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吡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蚜酮可湿性粉剂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2000 </w:t>
      </w:r>
      <w:r>
        <w:rPr>
          <w:rFonts w:ascii="Times New Roman" w:eastAsia="宋体" w:hAnsi="Times New Roman" w:cs="Times New Roman"/>
          <w:sz w:val="24"/>
          <w:szCs w:val="32"/>
        </w:rPr>
        <w:t>倍</w:t>
      </w:r>
      <w:r>
        <w:rPr>
          <w:rFonts w:ascii="Times New Roman" w:eastAsia="宋体" w:hAnsi="Times New Roman" w:cs="Times New Roman"/>
          <w:sz w:val="24"/>
          <w:szCs w:val="32"/>
        </w:rPr>
        <w:t>+43%</w:t>
      </w:r>
      <w:r>
        <w:rPr>
          <w:rFonts w:ascii="Times New Roman" w:eastAsia="宋体" w:hAnsi="Times New Roman" w:cs="Times New Roman"/>
          <w:sz w:val="24"/>
          <w:szCs w:val="32"/>
        </w:rPr>
        <w:t>联苯肼酯悬浮剂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1000 </w:t>
      </w:r>
      <w:r>
        <w:rPr>
          <w:rFonts w:ascii="Times New Roman" w:eastAsia="宋体" w:hAnsi="Times New Roman" w:cs="Times New Roman"/>
          <w:sz w:val="24"/>
          <w:szCs w:val="32"/>
        </w:rPr>
        <w:t>倍，或</w:t>
      </w:r>
      <w:r>
        <w:rPr>
          <w:rFonts w:ascii="Times New Roman" w:eastAsia="宋体" w:hAnsi="Times New Roman" w:cs="Times New Roman"/>
          <w:sz w:val="24"/>
          <w:szCs w:val="32"/>
        </w:rPr>
        <w:t xml:space="preserve"> 50%</w:t>
      </w:r>
      <w:r>
        <w:rPr>
          <w:rFonts w:ascii="Times New Roman" w:eastAsia="宋体" w:hAnsi="Times New Roman" w:cs="Times New Roman"/>
          <w:sz w:val="24"/>
          <w:szCs w:val="32"/>
        </w:rPr>
        <w:t>氟啶虫胺腈水分散粒剂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5000 </w:t>
      </w:r>
      <w:r>
        <w:rPr>
          <w:rFonts w:ascii="Times New Roman" w:eastAsia="宋体" w:hAnsi="Times New Roman" w:cs="Times New Roman"/>
          <w:sz w:val="24"/>
          <w:szCs w:val="32"/>
        </w:rPr>
        <w:t>倍</w:t>
      </w:r>
      <w:r>
        <w:rPr>
          <w:rFonts w:ascii="Times New Roman" w:eastAsia="宋体" w:hAnsi="Times New Roman" w:cs="Times New Roman"/>
          <w:sz w:val="24"/>
          <w:szCs w:val="32"/>
        </w:rPr>
        <w:t>+20%</w:t>
      </w:r>
      <w:r>
        <w:rPr>
          <w:rFonts w:ascii="Times New Roman" w:eastAsia="宋体" w:hAnsi="Times New Roman" w:cs="Times New Roman"/>
          <w:sz w:val="24"/>
          <w:szCs w:val="32"/>
        </w:rPr>
        <w:t>丁氟螨酯悬浮剂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1000 </w:t>
      </w:r>
      <w:r>
        <w:rPr>
          <w:rFonts w:ascii="Times New Roman" w:eastAsia="宋体" w:hAnsi="Times New Roman" w:cs="Times New Roman"/>
          <w:sz w:val="24"/>
          <w:szCs w:val="32"/>
        </w:rPr>
        <w:t>倍，或</w:t>
      </w:r>
      <w:r>
        <w:rPr>
          <w:rFonts w:ascii="Times New Roman" w:eastAsia="宋体" w:hAnsi="Times New Roman" w:cs="Times New Roman"/>
          <w:sz w:val="24"/>
          <w:szCs w:val="32"/>
        </w:rPr>
        <w:t>17%</w:t>
      </w:r>
      <w:r>
        <w:rPr>
          <w:rFonts w:ascii="Times New Roman" w:eastAsia="宋体" w:hAnsi="Times New Roman" w:cs="Times New Roman"/>
          <w:sz w:val="24"/>
          <w:szCs w:val="32"/>
        </w:rPr>
        <w:t>氟吡呋喃酮可溶液剂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1500 </w:t>
      </w:r>
      <w:r>
        <w:rPr>
          <w:rFonts w:ascii="Times New Roman" w:eastAsia="宋体" w:hAnsi="Times New Roman" w:cs="Times New Roman"/>
          <w:sz w:val="24"/>
          <w:szCs w:val="32"/>
        </w:rPr>
        <w:t>倍</w:t>
      </w:r>
      <w:r>
        <w:rPr>
          <w:rFonts w:ascii="Times New Roman" w:eastAsia="宋体" w:hAnsi="Times New Roman" w:cs="Times New Roman"/>
          <w:sz w:val="24"/>
          <w:szCs w:val="32"/>
        </w:rPr>
        <w:t>+24%</w:t>
      </w:r>
      <w:r>
        <w:rPr>
          <w:rFonts w:ascii="Times New Roman" w:eastAsia="宋体" w:hAnsi="Times New Roman" w:cs="Times New Roman"/>
          <w:sz w:val="24"/>
          <w:szCs w:val="32"/>
        </w:rPr>
        <w:t>螺螨酯悬浮剂</w:t>
      </w:r>
      <w:r>
        <w:rPr>
          <w:rFonts w:ascii="Times New Roman" w:eastAsia="宋体" w:hAnsi="Times New Roman" w:cs="Times New Roman"/>
          <w:sz w:val="24"/>
          <w:szCs w:val="32"/>
        </w:rPr>
        <w:t xml:space="preserve"> 1500 </w:t>
      </w:r>
      <w:r>
        <w:rPr>
          <w:rFonts w:ascii="Times New Roman" w:eastAsia="宋体" w:hAnsi="Times New Roman" w:cs="Times New Roman"/>
          <w:sz w:val="24"/>
          <w:szCs w:val="32"/>
        </w:rPr>
        <w:t>倍。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（四）防治要求。</w:t>
      </w:r>
      <w:r>
        <w:rPr>
          <w:rFonts w:ascii="Times New Roman" w:eastAsia="宋体" w:hAnsi="Times New Roman" w:cs="Times New Roman"/>
          <w:sz w:val="24"/>
          <w:szCs w:val="32"/>
        </w:rPr>
        <w:t>严格执行农药安全使用要求，务必轮换用药，及时关注当地天气预报，避免风力大于</w:t>
      </w:r>
      <w:r>
        <w:rPr>
          <w:rFonts w:ascii="Times New Roman" w:eastAsia="宋体" w:hAnsi="Times New Roman" w:cs="Times New Roman"/>
          <w:sz w:val="24"/>
          <w:szCs w:val="32"/>
        </w:rPr>
        <w:t xml:space="preserve"> 4 </w:t>
      </w:r>
      <w:r>
        <w:rPr>
          <w:rFonts w:ascii="Times New Roman" w:eastAsia="宋体" w:hAnsi="Times New Roman" w:cs="Times New Roman"/>
          <w:sz w:val="24"/>
          <w:szCs w:val="32"/>
        </w:rPr>
        <w:t>级情况下施药。严格按照建议使用药量配置药液浓度，不得随意增加药量，施药机械要保持良好的喷雾状况，提高农药利用率，确保防治效果。</w:t>
      </w:r>
    </w:p>
    <w:p w:rsidR="00623C64" w:rsidRDefault="00E02ABE">
      <w:pPr>
        <w:tabs>
          <w:tab w:val="left" w:pos="6430"/>
        </w:tabs>
        <w:spacing w:line="500" w:lineRule="exact"/>
        <w:ind w:firstLineChars="200" w:firstLine="482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b/>
          <w:bCs/>
          <w:sz w:val="24"/>
          <w:szCs w:val="32"/>
        </w:rPr>
        <w:t>（五）测报结果。</w:t>
      </w:r>
      <w:r>
        <w:rPr>
          <w:rFonts w:ascii="Times New Roman" w:eastAsia="宋体" w:hAnsi="Times New Roman" w:cs="Times New Roman"/>
          <w:sz w:val="24"/>
          <w:szCs w:val="32"/>
        </w:rPr>
        <w:t>根据测报结果，各区域积极采取黄板、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诱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剂等多种监测方法，加强监测力度，增加监测频次，准确掌握害虫消长动态以抓住关键防控时间。同时，关注枸杞蚜虫、</w:t>
      </w:r>
      <w:proofErr w:type="gramStart"/>
      <w:r>
        <w:rPr>
          <w:rFonts w:ascii="Times New Roman" w:eastAsia="宋体" w:hAnsi="Times New Roman" w:cs="Times New Roman"/>
          <w:sz w:val="24"/>
          <w:szCs w:val="32"/>
        </w:rPr>
        <w:t>蓟</w:t>
      </w:r>
      <w:proofErr w:type="gramEnd"/>
      <w:r>
        <w:rPr>
          <w:rFonts w:ascii="Times New Roman" w:eastAsia="宋体" w:hAnsi="Times New Roman" w:cs="Times New Roman"/>
          <w:sz w:val="24"/>
          <w:szCs w:val="32"/>
        </w:rPr>
        <w:t>马、实蝇等发生动态，及时上报虫情发生情况并采取防控措施。</w:t>
      </w:r>
    </w:p>
    <w:sectPr w:rsidR="00623C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VkNjE1MWQ0OTA5NzRmNzY0ZGYyYTRiNWZhYmQzY2QifQ=="/>
  </w:docVars>
  <w:rsids>
    <w:rsidRoot w:val="00623C64"/>
    <w:rsid w:val="0013267D"/>
    <w:rsid w:val="00623C64"/>
    <w:rsid w:val="00D741E9"/>
    <w:rsid w:val="00E02ABE"/>
    <w:rsid w:val="429A5EB4"/>
    <w:rsid w:val="42AD6EC7"/>
    <w:rsid w:val="43DA3CEB"/>
    <w:rsid w:val="48043C9C"/>
    <w:rsid w:val="4DBE01FE"/>
    <w:rsid w:val="528330B6"/>
    <w:rsid w:val="5A7A53E2"/>
    <w:rsid w:val="62F14822"/>
    <w:rsid w:val="74A72072"/>
    <w:rsid w:val="751A27C1"/>
    <w:rsid w:val="7A8428C6"/>
    <w:rsid w:val="7C06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4B32C6"/>
  <w15:docId w15:val="{021568FF-4E41-4F87-BF10-7602D92CF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02ABE"/>
    <w:rPr>
      <w:sz w:val="18"/>
      <w:szCs w:val="18"/>
    </w:rPr>
  </w:style>
  <w:style w:type="character" w:customStyle="1" w:styleId="a5">
    <w:name w:val="批注框文本 字符"/>
    <w:basedOn w:val="a0"/>
    <w:link w:val="a4"/>
    <w:rsid w:val="00E02AB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530</Words>
  <Characters>3025</Characters>
  <Application>Microsoft Office Word</Application>
  <DocSecurity>0</DocSecurity>
  <Lines>25</Lines>
  <Paragraphs>7</Paragraphs>
  <ScaleCrop>false</ScaleCrop>
  <Company>china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86183</dc:creator>
  <cp:lastModifiedBy>HP</cp:lastModifiedBy>
  <cp:revision>3</cp:revision>
  <cp:lastPrinted>2022-05-06T10:29:00Z</cp:lastPrinted>
  <dcterms:created xsi:type="dcterms:W3CDTF">2022-05-06T11:10:00Z</dcterms:created>
  <dcterms:modified xsi:type="dcterms:W3CDTF">2022-05-06T11:10:00Z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097CC1B471E54DEA9FC0CCA7700375A5</vt:lpwstr>
  </property>
</Properties>
</file>